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line="300"/>
        <w:jc w:val="center"/>
      </w:pPr>
      <w:r>
        <w:rPr>
          <w:rFonts w:ascii="游ゴシック" w:cs="游ゴシック" w:eastAsia="游ゴシック" w:hAnsi="游ゴシック"/>
          <w:b/>
          <w:bCs/>
          <w:sz w:val="44"/>
          <w:szCs w:val="44"/>
        </w:rPr>
        <w:t xml:space="preserve">熱中症対策 手順書</w:t>
      </w:r>
    </w:p>
    <w:p>
      <w:pPr>
        <w:spacing w:after="120" w:before="60" w:line="300"/>
        <w:jc w:val="center"/>
      </w:pPr>
      <w:r>
        <w:rPr>
          <w:rFonts w:ascii="游ゴシック" w:cs="游ゴシック" w:eastAsia="游ゴシック" w:hAnsi="游ゴシック"/>
          <w:sz w:val="24"/>
          <w:szCs w:val="24"/>
        </w:rPr>
        <w:t xml:space="preserve">報告体制・措置の実施手順・周知の記録（建設現場用テンプレート）</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338"/>
      </w:tblGrid>
      <w:tr>
        <w:trPr>
          <w:cantSplit/>
        </w:trPr>
        <w:tc>
          <w:tcPr>
            <w:tcW w:type="dxa" w:w="33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会社名</w:t>
            </w:r>
          </w:p>
        </w:tc>
        <w:tc>
          <w:tcPr>
            <w:tcW w:type="dxa" w:w="6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rHeight w:val="340" w:hRule="atLeast"/>
        </w:trPr>
        <w:tc>
          <w:tcPr>
            <w:tcW w:type="dxa" w:w="33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現場名（作業場）</w:t>
            </w:r>
          </w:p>
        </w:tc>
        <w:tc>
          <w:tcPr>
            <w:tcW w:type="dxa" w:w="6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rHeight w:val="340" w:hRule="atLeast"/>
        </w:trPr>
        <w:tc>
          <w:tcPr>
            <w:tcW w:type="dxa" w:w="33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現場所在地</w:t>
            </w:r>
          </w:p>
        </w:tc>
        <w:tc>
          <w:tcPr>
            <w:tcW w:type="dxa" w:w="6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rHeight w:val="340" w:hRule="atLeast"/>
        </w:trPr>
        <w:tc>
          <w:tcPr>
            <w:tcW w:type="dxa" w:w="33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工期（暑熱期の作業期間）</w:t>
            </w:r>
          </w:p>
        </w:tc>
        <w:tc>
          <w:tcPr>
            <w:tcW w:type="dxa" w:w="6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年　　月　　日 ～ 　　年　　月　　日</w:t>
            </w:r>
          </w:p>
        </w:tc>
      </w:tr>
      <w:tr>
        <w:trPr>
          <w:cantSplit/>
          <w:trHeight w:val="340" w:hRule="atLeast"/>
        </w:trPr>
        <w:tc>
          <w:tcPr>
            <w:tcW w:type="dxa" w:w="33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作成日 ／ 作成者</w:t>
            </w:r>
          </w:p>
        </w:tc>
        <w:tc>
          <w:tcPr>
            <w:tcW w:type="dxa" w:w="6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年　　月　　日 ／</w:t>
            </w:r>
          </w:p>
        </w:tc>
      </w:tr>
      <w:tr>
        <w:trPr>
          <w:cantSplit/>
          <w:trHeight w:val="340" w:hRule="atLeast"/>
        </w:trPr>
        <w:tc>
          <w:tcPr>
            <w:tcW w:type="dxa" w:w="33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元方事業者（混在作業の場合）</w:t>
            </w:r>
          </w:p>
        </w:tc>
        <w:tc>
          <w:tcPr>
            <w:tcW w:type="dxa" w:w="6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bl>
    <w:p>
      <w:pPr>
        <w:pStyle w:val="Heading2"/>
        <w:keepNext/>
        <w:spacing w:after="60" w:before="140"/>
      </w:pPr>
      <w:r>
        <w:rPr>
          <w:rFonts w:ascii="游ゴシック" w:cs="游ゴシック" w:eastAsia="游ゴシック" w:hAnsi="游ゴシック"/>
          <w:b/>
          <w:bCs/>
          <w:sz w:val="24"/>
          <w:szCs w:val="24"/>
        </w:rPr>
        <w:t xml:space="preserve">この手順書で満たす義務（労働安全衛生規則 第612条の2）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20" w:before="20" w:line="270"/>
            </w:pPr>
            <w:r>
              <w:rPr>
                <w:rFonts w:ascii="游ゴシック" w:cs="游ゴシック" w:eastAsia="游ゴシック" w:hAnsi="游ゴシック"/>
                <w:sz w:val="19"/>
                <w:szCs w:val="19"/>
              </w:rPr>
              <w:t xml:space="preserve">WBGT（暑さ指数）28度以上 または 気温31度以上の場所で、連続1時間以上 または 1日4時間を超えて行うことが見込まれる作業（＝「熱中症を生ずるおそれのある作業」）を行うときは、事業者は あらかじめ 次のことをしなければなりません（令和7年6月1日施行）。</w:t>
            </w:r>
          </w:p>
          <w:p>
            <w:pPr>
              <w:spacing w:after="20" w:before="40" w:line="300"/>
            </w:pPr>
            <w:r>
              <w:rPr>
                <w:rFonts w:ascii="游ゴシック" w:cs="游ゴシック" w:eastAsia="游ゴシック" w:hAnsi="游ゴシック"/>
                <w:b/>
                <w:bCs/>
                <w:sz w:val="19"/>
                <w:szCs w:val="19"/>
              </w:rPr>
              <w:t xml:space="preserve">① 報告体制の整備</w:t>
            </w:r>
            <w:r>
              <w:rPr>
                <w:rFonts w:ascii="游ゴシック" w:cs="游ゴシック" w:eastAsia="游ゴシック" w:hAnsi="游ゴシック"/>
                <w:sz w:val="19"/>
                <w:szCs w:val="19"/>
              </w:rPr>
              <w:t xml:space="preserve">　熱中症の自覚症状がある人・疑いのある人を見つけた人が報告する体制を決める（第1項）……本書 2章</w:t>
            </w:r>
          </w:p>
          <w:p>
            <w:pPr>
              <w:spacing w:after="20" w:before="20" w:line="300"/>
            </w:pPr>
            <w:r>
              <w:rPr>
                <w:rFonts w:ascii="游ゴシック" w:cs="游ゴシック" w:eastAsia="游ゴシック" w:hAnsi="游ゴシック"/>
                <w:b/>
                <w:bCs/>
                <w:sz w:val="19"/>
                <w:szCs w:val="19"/>
              </w:rPr>
              <w:t xml:space="preserve">② 実施手順の作成</w:t>
            </w:r>
            <w:r>
              <w:rPr>
                <w:rFonts w:ascii="游ゴシック" w:cs="游ゴシック" w:eastAsia="游ゴシック" w:hAnsi="游ゴシック"/>
                <w:sz w:val="19"/>
                <w:szCs w:val="19"/>
              </w:rPr>
              <w:t xml:space="preserve">　作業からの離脱、身体の冷却、必要に応じて医師の診察・処置を受けさせる等の手順を作業場ごとに決める（第2項）……本書 3章・4章</w:t>
            </w:r>
          </w:p>
          <w:p>
            <w:pPr>
              <w:spacing w:after="40" w:before="20" w:line="300"/>
            </w:pPr>
            <w:r>
              <w:rPr>
                <w:rFonts w:ascii="游ゴシック" w:cs="游ゴシック" w:eastAsia="游ゴシック" w:hAnsi="游ゴシック"/>
                <w:b/>
                <w:bCs/>
                <w:sz w:val="19"/>
                <w:szCs w:val="19"/>
              </w:rPr>
              <w:t xml:space="preserve">③ 関係者への周知</w:t>
            </w:r>
            <w:r>
              <w:rPr>
                <w:rFonts w:ascii="游ゴシック" w:cs="游ゴシック" w:eastAsia="游ゴシック" w:hAnsi="游ゴシック"/>
                <w:sz w:val="19"/>
                <w:szCs w:val="19"/>
              </w:rPr>
              <w:t xml:space="preserve">　①②を作業に従事する人に周知する。一人親方など労働者以外の人も含む……本書 5章</w:t>
            </w:r>
          </w:p>
        </w:tc>
      </w:tr>
    </w:tbl>
    <w:p>
      <w:pPr>
        <w:spacing w:after="100" w:before="100" w:line="270"/>
      </w:pPr>
      <w:r>
        <w:rPr>
          <w:rFonts w:ascii="游ゴシック" w:cs="游ゴシック" w:eastAsia="游ゴシック" w:hAnsi="游ゴシック"/>
          <w:b/>
          <w:bCs/>
          <w:color w:val="C0392B"/>
          <w:sz w:val="19"/>
          <w:szCs w:val="19"/>
        </w:rPr>
        <w:t xml:space="preserve">使い方　</w:t>
      </w:r>
      <w:r>
        <w:rPr>
          <w:rFonts w:ascii="游ゴシック" w:cs="游ゴシック" w:eastAsia="游ゴシック" w:hAnsi="游ゴシック"/>
          <w:sz w:val="19"/>
          <w:szCs w:val="19"/>
        </w:rPr>
        <w:t xml:space="preserve">1章で対象作業を洗い出す → 2章・3章の空欄を現場に合わせて埋める → 4章のフロー図を詰所・休憩所に掲示 → 朝礼等で周知し5章に記録</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888888" w:sz="4"/>
              <w:left w:val="single" w:color="888888" w:sz="4"/>
              <w:bottom w:val="single" w:color="888888" w:sz="4"/>
              <w:right w:val="single" w:color="888888" w:sz="4"/>
            </w:tcBorders>
            <w:shd w:fill="FDEDEC" w:color="auto" w:val="clear"/>
            <w:tcMar>
              <w:top w:type="dxa" w:w="60"/>
              <w:left w:type="dxa" w:w="100"/>
              <w:bottom w:type="dxa" w:w="60"/>
              <w:right w:type="dxa" w:w="100"/>
            </w:tcMar>
            <w:vAlign w:val="center"/>
          </w:tcPr>
          <w:p>
            <w:pPr>
              <w:spacing w:after="20" w:before="20" w:line="300"/>
            </w:pPr>
            <w:r>
              <w:rPr>
                <w:rFonts w:ascii="游ゴシック" w:cs="游ゴシック" w:eastAsia="游ゴシック" w:hAnsi="游ゴシック"/>
                <w:b/>
                <w:bCs/>
                <w:color w:val="C0392B"/>
                <w:sz w:val="19"/>
                <w:szCs w:val="19"/>
              </w:rPr>
              <w:t xml:space="preserve">ご注意</w:t>
            </w:r>
          </w:p>
          <w:p>
            <w:pPr>
              <w:spacing w:after="20" w:before="20" w:line="270"/>
            </w:pPr>
            <w:r>
              <w:rPr>
                <w:rFonts w:ascii="游ゴシック" w:cs="游ゴシック" w:eastAsia="游ゴシック" w:hAnsi="游ゴシック"/>
                <w:sz w:val="19"/>
                <w:szCs w:val="19"/>
              </w:rPr>
              <w:t xml:space="preserve">このテンプレートは雛形です。記載例は厚生労働省の通達・ガイドラインの例示をもとにしていますが、実際の体制や現場の条件に合っているかは、必ず自社でご確認ください。法令への適合を保証するものではありません。</w:t>
            </w:r>
          </w:p>
          <w:p>
            <w:pPr>
              <w:spacing w:after="20" w:before="20" w:line="270"/>
            </w:pPr>
            <w:r>
              <w:rPr>
                <w:rFonts w:ascii="游ゴシック" w:cs="游ゴシック" w:eastAsia="游ゴシック" w:hAnsi="游ゴシック"/>
                <w:sz w:val="19"/>
                <w:szCs w:val="19"/>
              </w:rPr>
              <w:t xml:space="preserve">建設現場のように複数の事業者が同じ場所で作業する場合、この義務は元方事業者だけでなく関係請負人の各事業者にもあります（基発0520第6号）。元方事業者の手順に合わせて作る場合も、自社の作業者に周知できているか確認してください。</w:t>
            </w:r>
          </w:p>
        </w:tc>
      </w:tr>
    </w:tbl>
    <w:p>
      <w:r>
        <w:br w:type="page"/>
      </w:r>
    </w:p>
    <w:p>
      <w:pPr>
        <w:pStyle w:val="Heading1"/>
        <w:pBdr>
          <w:bottom w:val="single" w:color="C0392B" w:sz="12" w:space="4"/>
        </w:pBdr>
        <w:spacing w:after="120" w:before="120"/>
      </w:pPr>
      <w:r>
        <w:rPr>
          <w:rFonts w:ascii="游ゴシック" w:cs="游ゴシック" w:eastAsia="游ゴシック" w:hAnsi="游ゴシック"/>
          <w:b/>
          <w:bCs/>
          <w:sz w:val="30"/>
          <w:szCs w:val="30"/>
        </w:rPr>
        <w:t xml:space="preserve">1. 対象となる作業の洗い出し</w:t>
      </w:r>
    </w:p>
    <w:p>
      <w:pPr>
        <w:spacing w:after="60" w:before="60" w:line="300"/>
      </w:pPr>
      <w:r>
        <w:rPr>
          <w:rFonts w:ascii="游ゴシック" w:cs="游ゴシック" w:eastAsia="游ゴシック" w:hAnsi="游ゴシック"/>
          <w:sz w:val="21"/>
          <w:szCs w:val="21"/>
        </w:rPr>
        <w:t xml:space="preserve">次の2つの条件を両方満たす作業が「熱中症を生ずるおそれのある作業」です。非定常作業や臨時の作業でも、条件を満たす見込みがあれば対象になります。</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条件A　暑熱な場所</w:t>
            </w:r>
          </w:p>
        </w:tc>
        <w:tc>
          <w:tcPr>
            <w:tcW w:type="dxa" w:w="4819"/>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条件B　作業時間</w:t>
            </w:r>
          </w:p>
        </w:tc>
      </w:tr>
      <w:tr>
        <w:trPr>
          <w:cantSplit/>
        </w:trPr>
        <w:tc>
          <w:tcPr>
            <w:tcW w:type="dxa" w:w="4819"/>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sz w:val="19"/>
                <w:szCs w:val="19"/>
              </w:rPr>
              <w:t xml:space="preserve">WBGT値が 28度以上</w:t>
            </w:r>
          </w:p>
          <w:p>
            <w:pPr>
              <w:spacing w:after="30" w:before="30" w:line="260"/>
              <w:jc w:val="center"/>
            </w:pPr>
            <w:r>
              <w:rPr>
                <w:rFonts w:ascii="游ゴシック" w:cs="游ゴシック" w:eastAsia="游ゴシック" w:hAnsi="游ゴシック"/>
                <w:sz w:val="19"/>
                <w:szCs w:val="19"/>
              </w:rPr>
              <w:t xml:space="preserve">または</w:t>
            </w:r>
          </w:p>
          <w:p>
            <w:pPr>
              <w:spacing w:after="30" w:before="30" w:line="260"/>
              <w:jc w:val="center"/>
            </w:pPr>
            <w:r>
              <w:rPr>
                <w:rFonts w:ascii="游ゴシック" w:cs="游ゴシック" w:eastAsia="游ゴシック" w:hAnsi="游ゴシック"/>
                <w:sz w:val="19"/>
                <w:szCs w:val="19"/>
              </w:rPr>
              <w:t xml:space="preserve">気温が 31度以上</w:t>
            </w:r>
          </w:p>
        </w:tc>
        <w:tc>
          <w:tcPr>
            <w:tcW w:type="dxa" w:w="4819"/>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sz w:val="19"/>
                <w:szCs w:val="19"/>
              </w:rPr>
              <w:t xml:space="preserve">継続して 1時間以上</w:t>
            </w:r>
          </w:p>
          <w:p>
            <w:pPr>
              <w:spacing w:after="30" w:before="30" w:line="260"/>
              <w:jc w:val="center"/>
            </w:pPr>
            <w:r>
              <w:rPr>
                <w:rFonts w:ascii="游ゴシック" w:cs="游ゴシック" w:eastAsia="游ゴシック" w:hAnsi="游ゴシック"/>
                <w:sz w:val="19"/>
                <w:szCs w:val="19"/>
              </w:rPr>
              <w:t xml:space="preserve">または</w:t>
            </w:r>
          </w:p>
          <w:p>
            <w:pPr>
              <w:spacing w:after="30" w:before="30" w:line="260"/>
              <w:jc w:val="center"/>
            </w:pPr>
            <w:r>
              <w:rPr>
                <w:rFonts w:ascii="游ゴシック" w:cs="游ゴシック" w:eastAsia="游ゴシック" w:hAnsi="游ゴシック"/>
                <w:sz w:val="19"/>
                <w:szCs w:val="19"/>
              </w:rPr>
              <w:t xml:space="preserve">1日あたり 4時間を超える（見込み）</w:t>
            </w:r>
          </w:p>
        </w:tc>
      </w:tr>
    </w:tbl>
    <w:p>
      <w:pPr>
        <w:spacing w:after="20" w:before="20" w:line="260"/>
      </w:pPr>
      <w:r>
        <w:rPr>
          <w:rFonts w:ascii="游ゴシック" w:cs="游ゴシック" w:eastAsia="游ゴシック" w:hAnsi="游ゴシック"/>
          <w:color w:val="555555"/>
          <w:sz w:val="18"/>
          <w:szCs w:val="18"/>
        </w:rPr>
        <w:t xml:space="preserve">※ 原則は作業場所での実測で判断します。通風のよい屋外作業などは、天気予報や環境省「熱中症予防情報サイト」の暑さ指数で判断しても差し支えありません（基発0520第6号）。</w:t>
      </w:r>
    </w:p>
    <w:p>
      <w:pPr>
        <w:spacing w:after="20" w:before="20" w:line="260"/>
      </w:pPr>
      <w:r>
        <w:rPr>
          <w:rFonts w:ascii="游ゴシック" w:cs="游ゴシック" w:eastAsia="游ゴシック" w:hAnsi="游ゴシック"/>
          <w:color w:val="555555"/>
          <w:sz w:val="18"/>
          <w:szCs w:val="18"/>
        </w:rPr>
        <w:t xml:space="preserve">※ 移動中や出張先での作業、作業場所から作業場所への移動時も含みます。条件に当たらない作業でも、作業強度や服装によってはリスクが高まるため、同様の対応に努めてください。</w:t>
      </w:r>
    </w:p>
    <w:p>
      <w:pPr>
        <w:spacing w:after="60" w:before="100" w:line="300"/>
      </w:pPr>
      <w:r>
        <w:rPr>
          <w:rFonts w:ascii="游ゴシック" w:cs="游ゴシック" w:eastAsia="游ゴシック" w:hAnsi="游ゴシック"/>
          <w:sz w:val="21"/>
          <w:szCs w:val="21"/>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500"/>
        <w:gridCol w:w="1500"/>
        <w:gridCol w:w="1500"/>
        <w:gridCol w:w="1500"/>
        <w:gridCol w:w="1338"/>
      </w:tblGrid>
      <w:tr>
        <w:trPr>
          <w:cantSplit/>
          <w:tblHeader/>
        </w:trPr>
        <w:tc>
          <w:tcPr>
            <w:tcW w:type="dxa" w:w="23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作業名・工種</w:t>
            </w:r>
          </w:p>
        </w:tc>
        <w:tc>
          <w:tcPr>
            <w:tcW w:type="dxa" w:w="15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作業場所</w:t>
            </w:r>
          </w:p>
        </w:tc>
        <w:tc>
          <w:tcPr>
            <w:tcW w:type="dxa" w:w="15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WBGT/気温の把握方法</w:t>
            </w:r>
          </w:p>
        </w:tc>
        <w:tc>
          <w:tcPr>
            <w:tcW w:type="dxa" w:w="15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連続1時間以上 / 1日4時間超</w:t>
            </w:r>
          </w:p>
        </w:tc>
        <w:tc>
          <w:tcPr>
            <w:tcW w:type="dxa" w:w="15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対象か</w:t>
            </w:r>
          </w:p>
        </w:tc>
        <w:tc>
          <w:tcPr>
            <w:tcW w:type="dxa" w:w="1338"/>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備考（作業強度・服装など）</w:t>
            </w:r>
          </w:p>
        </w:tc>
      </w:tr>
      <w:tr>
        <w:trPr>
          <w:cantSplit/>
          <w:tblHeader w:val="false"/>
          <w:trHeight w:val="520" w:hRule="atLeast"/>
        </w:trPr>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記入例：杭打ち（掘削・建込み）</w:t>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屋外（日陰なし）</w:t>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携帯型WBGT計</w:t>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該当</w:t>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対象</w:t>
            </w:r>
          </w:p>
        </w:tc>
        <w:tc>
          <w:tcPr>
            <w:tcW w:type="dxa" w:w="1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保護具着用・重作業</w:t>
            </w:r>
          </w:p>
        </w:tc>
      </w:tr>
      <w:tr>
        <w:trPr>
          <w:cantSplit/>
          <w:tblHeader w:val="false"/>
          <w:trHeight w:val="520" w:hRule="atLeast"/>
        </w:trPr>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3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bl>
    <w:p>
      <w:r>
        <w:br w:type="page"/>
      </w:r>
    </w:p>
    <w:p>
      <w:pPr>
        <w:pStyle w:val="Heading1"/>
        <w:pBdr>
          <w:bottom w:val="single" w:color="C0392B" w:sz="12" w:space="4"/>
        </w:pBdr>
        <w:spacing w:after="120" w:before="120"/>
      </w:pPr>
      <w:r>
        <w:rPr>
          <w:rFonts w:ascii="游ゴシック" w:cs="游ゴシック" w:eastAsia="游ゴシック" w:hAnsi="游ゴシック"/>
          <w:b/>
          <w:bCs/>
          <w:sz w:val="30"/>
          <w:szCs w:val="30"/>
        </w:rPr>
        <w:t xml:space="preserve">2. 報告体制（第612条の2 第1項）</w:t>
      </w:r>
    </w:p>
    <w:p>
      <w:pPr>
        <w:spacing w:after="60" w:before="60" w:line="300"/>
      </w:pPr>
      <w:r>
        <w:rPr>
          <w:rFonts w:ascii="游ゴシック" w:cs="游ゴシック" w:eastAsia="游ゴシック" w:hAnsi="游ゴシック"/>
          <w:sz w:val="21"/>
          <w:szCs w:val="21"/>
        </w:rPr>
        <w:t xml:space="preserve">熱中症の自覚症状がある人、または熱中症の疑いがある人を見つけた人が、作業中いつでも報告できる先と方法を決めます。</w:t>
      </w:r>
    </w:p>
    <w:p>
      <w:pPr>
        <w:pStyle w:val="Heading2"/>
        <w:keepNext/>
        <w:spacing w:after="60" w:before="140"/>
      </w:pPr>
      <w:r>
        <w:rPr>
          <w:rFonts w:ascii="游ゴシック" w:cs="游ゴシック" w:eastAsia="游ゴシック" w:hAnsi="游ゴシック"/>
          <w:b/>
          <w:bCs/>
          <w:sz w:val="24"/>
          <w:szCs w:val="24"/>
        </w:rPr>
        <w:t xml:space="preserve">2-1 報告先</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600"/>
        <w:gridCol w:w="2600"/>
        <w:gridCol w:w="2438"/>
      </w:tblGrid>
      <w:tr>
        <w:trPr>
          <w:cantSplit/>
          <w:tblHeader/>
        </w:trPr>
        <w:tc>
          <w:tcPr>
            <w:tcW w:type="dxa" w:w="20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
            </w:r>
          </w:p>
        </w:tc>
        <w:tc>
          <w:tcPr>
            <w:tcW w:type="dxa" w:w="26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氏名</w:t>
            </w:r>
          </w:p>
        </w:tc>
        <w:tc>
          <w:tcPr>
            <w:tcW w:type="dxa" w:w="26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電話</w:t>
            </w:r>
          </w:p>
        </w:tc>
        <w:tc>
          <w:tcPr>
            <w:tcW w:type="dxa" w:w="2438"/>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連絡方法（電話・無線・LINE等）</w:t>
            </w:r>
          </w:p>
        </w:tc>
      </w:tr>
      <w:tr>
        <w:trPr>
          <w:cantSplit/>
          <w:tblHeader w:val="false"/>
          <w:trHeight w:val="420" w:hRule="atLeast"/>
        </w:trPr>
        <w:tc>
          <w:tcPr>
            <w:tcW w:type="dxa" w:w="20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責任者</w:t>
            </w:r>
          </w:p>
        </w:tc>
        <w:tc>
          <w:tcPr>
            <w:tcW w:type="dxa" w:w="26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6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4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420" w:hRule="atLeast"/>
        </w:trPr>
        <w:tc>
          <w:tcPr>
            <w:tcW w:type="dxa" w:w="20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代理</w:t>
            </w:r>
          </w:p>
        </w:tc>
        <w:tc>
          <w:tcPr>
            <w:tcW w:type="dxa" w:w="26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6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4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420" w:hRule="atLeast"/>
        </w:trPr>
        <w:tc>
          <w:tcPr>
            <w:tcW w:type="dxa" w:w="20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元方事業者の担当</w:t>
            </w:r>
          </w:p>
        </w:tc>
        <w:tc>
          <w:tcPr>
            <w:tcW w:type="dxa" w:w="26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6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4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bl>
    <w:p>
      <w:pPr>
        <w:spacing w:after="20" w:before="20" w:line="260"/>
      </w:pPr>
      <w:r>
        <w:rPr>
          <w:rFonts w:ascii="游ゴシック" w:cs="游ゴシック" w:eastAsia="游ゴシック" w:hAnsi="游ゴシック"/>
          <w:color w:val="555555"/>
          <w:sz w:val="18"/>
          <w:szCs w:val="18"/>
        </w:rPr>
        <w:t xml:space="preserve">※ 混在作業の現場では、各事業者が共同で1つの緊急連絡先を決めて掲示する方法も認められています（基発0520第6号）。</w:t>
      </w:r>
    </w:p>
    <w:p>
      <w:pPr>
        <w:pStyle w:val="Heading2"/>
        <w:keepNext/>
        <w:spacing w:after="60" w:before="140"/>
      </w:pPr>
      <w:r>
        <w:rPr>
          <w:rFonts w:ascii="游ゴシック" w:cs="游ゴシック" w:eastAsia="游ゴシック" w:hAnsi="游ゴシック"/>
          <w:b/>
          <w:bCs/>
          <w:sz w:val="24"/>
          <w:szCs w:val="24"/>
        </w:rPr>
        <w:t xml:space="preserve">2-2 早く見つけるための方法（通達で推奨。該当するものに✓）</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9038"/>
      </w:tblGrid>
      <w:tr>
        <w:trPr>
          <w:cantSplit/>
        </w:trPr>
        <w:tc>
          <w:tcPr>
            <w:tcW w:type="dxa" w:w="6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t>
            </w:r>
          </w:p>
        </w:tc>
        <w:tc>
          <w:tcPr>
            <w:tcW w:type="dxa" w:w="90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責任者等による作業場所の巡視（巡視の間隔：　　　分ごと）</w:t>
            </w:r>
          </w:p>
        </w:tc>
      </w:tr>
      <w:tr>
        <w:trPr>
          <w:cantSplit/>
          <w:trHeight w:val="340" w:hRule="atLeast"/>
        </w:trPr>
        <w:tc>
          <w:tcPr>
            <w:tcW w:type="dxa" w:w="6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t>
            </w:r>
          </w:p>
        </w:tc>
        <w:tc>
          <w:tcPr>
            <w:tcW w:type="dxa" w:w="90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バディ制（2人以上で互いの体調を確認し合う）</w:t>
            </w:r>
          </w:p>
        </w:tc>
      </w:tr>
      <w:tr>
        <w:trPr>
          <w:cantSplit/>
          <w:trHeight w:val="340" w:hRule="atLeast"/>
        </w:trPr>
        <w:tc>
          <w:tcPr>
            <w:tcW w:type="dxa" w:w="6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t>
            </w:r>
          </w:p>
        </w:tc>
        <w:tc>
          <w:tcPr>
            <w:tcW w:type="dxa" w:w="90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ウェアラブルデバイスによる管理（※他の方法と組み合わせる）</w:t>
            </w:r>
          </w:p>
        </w:tc>
      </w:tr>
      <w:tr>
        <w:trPr>
          <w:cantSplit/>
          <w:trHeight w:val="340" w:hRule="atLeast"/>
        </w:trPr>
        <w:tc>
          <w:tcPr>
            <w:tcW w:type="dxa" w:w="6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t>
            </w:r>
          </w:p>
        </w:tc>
        <w:tc>
          <w:tcPr>
            <w:tcW w:type="dxa" w:w="90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責任者と作業者の双方向の定期連絡（間隔：　　　分ごと）</w:t>
            </w:r>
          </w:p>
        </w:tc>
      </w:tr>
      <w:tr>
        <w:trPr>
          <w:cantSplit/>
          <w:trHeight w:val="340" w:hRule="atLeast"/>
        </w:trPr>
        <w:tc>
          <w:tcPr>
            <w:tcW w:type="dxa" w:w="6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t>
            </w:r>
          </w:p>
        </w:tc>
        <w:tc>
          <w:tcPr>
            <w:tcW w:type="dxa" w:w="90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その他：</w:t>
            </w:r>
          </w:p>
        </w:tc>
      </w:tr>
    </w:tbl>
    <w:p>
      <w:pPr>
        <w:pStyle w:val="Heading2"/>
        <w:keepNext/>
        <w:spacing w:after="60" w:before="140"/>
      </w:pPr>
      <w:r>
        <w:rPr>
          <w:rFonts w:ascii="游ゴシック" w:cs="游ゴシック" w:eastAsia="游ゴシック" w:hAnsi="游ゴシック"/>
          <w:b/>
          <w:bCs/>
          <w:sz w:val="24"/>
          <w:szCs w:val="24"/>
        </w:rPr>
        <w:t xml:space="preserve">2-3 救急車の要請場所・搬送先</w:t>
      </w:r>
    </w:p>
    <w:p>
      <w:pPr>
        <w:spacing w:after="20" w:before="20" w:line="260"/>
      </w:pPr>
      <w:r>
        <w:rPr>
          <w:rFonts w:ascii="游ゴシック" w:cs="游ゴシック" w:eastAsia="游ゴシック" w:hAnsi="游ゴシック"/>
          <w:color w:val="555555"/>
          <w:sz w:val="18"/>
          <w:szCs w:val="18"/>
        </w:rPr>
        <w:t xml:space="preserve">あいまいな表現は緊急時に混乱します。番地のない現場は目印を具体的に書いてください。</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救急車の要請場所</w:t>
            </w:r>
          </w:p>
        </w:tc>
        <w:tc>
          <w:tcPr>
            <w:tcW w:type="dxa" w:w="76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名称：</w:t>
            </w:r>
          </w:p>
          <w:p>
            <w:pPr>
              <w:spacing w:after="30" w:before="30" w:line="260"/>
            </w:pPr>
            <w:r>
              <w:rPr>
                <w:rFonts w:ascii="游ゴシック" w:cs="游ゴシック" w:eastAsia="游ゴシック" w:hAnsi="游ゴシック"/>
                <w:sz w:val="19"/>
                <w:szCs w:val="19"/>
              </w:rPr>
              <w:t xml:space="preserve">住所：</w:t>
            </w:r>
          </w:p>
          <w:p>
            <w:pPr>
              <w:spacing w:after="30" w:before="30" w:line="260"/>
            </w:pPr>
            <w:r>
              <w:rPr>
                <w:rFonts w:ascii="游ゴシック" w:cs="游ゴシック" w:eastAsia="游ゴシック" w:hAnsi="游ゴシック"/>
                <w:sz w:val="19"/>
                <w:szCs w:val="19"/>
              </w:rPr>
              <w:t xml:space="preserve">目印（番地がない場合）：</w:t>
            </w:r>
          </w:p>
        </w:tc>
      </w:tr>
      <w:tr>
        <w:trPr>
          <w:cantSplit/>
        </w:trPr>
        <w:tc>
          <w:tcPr>
            <w:tcW w:type="dxa" w:w="20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搬送先の医療機関</w:t>
            </w:r>
          </w:p>
        </w:tc>
        <w:tc>
          <w:tcPr>
            <w:tcW w:type="dxa" w:w="76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名称：</w:t>
            </w:r>
          </w:p>
          <w:p>
            <w:pPr>
              <w:spacing w:after="30" w:before="30" w:line="260"/>
            </w:pPr>
            <w:r>
              <w:rPr>
                <w:rFonts w:ascii="游ゴシック" w:cs="游ゴシック" w:eastAsia="游ゴシック" w:hAnsi="游ゴシック"/>
                <w:sz w:val="19"/>
                <w:szCs w:val="19"/>
              </w:rPr>
              <w:t xml:space="preserve">電話：</w:t>
            </w:r>
          </w:p>
          <w:p>
            <w:pPr>
              <w:spacing w:after="30" w:before="30" w:line="260"/>
            </w:pPr>
            <w:r>
              <w:rPr>
                <w:rFonts w:ascii="游ゴシック" w:cs="游ゴシック" w:eastAsia="游ゴシック" w:hAnsi="游ゴシック"/>
                <w:sz w:val="19"/>
                <w:szCs w:val="19"/>
              </w:rPr>
              <w:t xml:space="preserve">住所：</w:t>
            </w:r>
          </w:p>
        </w:tc>
      </w:tr>
      <w:tr>
        <w:trPr>
          <w:cantSplit/>
        </w:trPr>
        <w:tc>
          <w:tcPr>
            <w:tcW w:type="dxa" w:w="20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判断に迷うとき</w:t>
            </w:r>
          </w:p>
        </w:tc>
        <w:tc>
          <w:tcPr>
            <w:tcW w:type="dxa" w:w="76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救急安心センター #7119（実施地域のみ）／ 地域の相談窓口：</w:t>
            </w:r>
          </w:p>
        </w:tc>
      </w:tr>
      <w:tr>
        <w:trPr>
          <w:cantSplit/>
        </w:trPr>
        <w:tc>
          <w:tcPr>
            <w:tcW w:type="dxa" w:w="20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緊急連絡網</w:t>
            </w:r>
          </w:p>
        </w:tc>
        <w:tc>
          <w:tcPr>
            <w:tcW w:type="dxa" w:w="76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bl>
    <w:p>
      <w:r>
        <w:br w:type="page"/>
      </w:r>
    </w:p>
    <w:p>
      <w:pPr>
        <w:pStyle w:val="Heading1"/>
        <w:pBdr>
          <w:bottom w:val="single" w:color="C0392B" w:sz="12" w:space="4"/>
        </w:pBdr>
        <w:spacing w:after="120" w:before="120"/>
      </w:pPr>
      <w:r>
        <w:rPr>
          <w:rFonts w:ascii="游ゴシック" w:cs="游ゴシック" w:eastAsia="游ゴシック" w:hAnsi="游ゴシック"/>
          <w:b/>
          <w:bCs/>
          <w:sz w:val="30"/>
          <w:szCs w:val="30"/>
        </w:rPr>
        <w:t xml:space="preserve">3. 熱中症が疑われるときの措置の手順（第612条の2 第2項）</w:t>
      </w:r>
    </w:p>
    <w:p>
      <w:pPr>
        <w:spacing w:after="60" w:before="60" w:line="300"/>
      </w:pPr>
      <w:r>
        <w:rPr>
          <w:rFonts w:ascii="游ゴシック" w:cs="游ゴシック" w:eastAsia="游ゴシック" w:hAnsi="游ゴシック"/>
          <w:sz w:val="21"/>
          <w:szCs w:val="21"/>
        </w:rPr>
        <w:t xml:space="preserve">熱中症の疑いがある人が出たら、WBGT値や作業時間にかかわらず、この手順で対応します。判断に迷うときは放置・先送りせず、#7119 や医療機関に相談して専門家の指示を仰いでください。</w:t>
      </w:r>
    </w:p>
    <w:p>
      <w:pPr>
        <w:pStyle w:val="Heading2"/>
        <w:keepNext/>
        <w:spacing w:after="60" w:before="140"/>
      </w:pPr>
      <w:r>
        <w:rPr>
          <w:rFonts w:ascii="游ゴシック" w:cs="游ゴシック" w:eastAsia="游ゴシック" w:hAnsi="游ゴシック"/>
          <w:b/>
          <w:bCs/>
          <w:sz w:val="24"/>
          <w:szCs w:val="24"/>
        </w:rPr>
        <w:t xml:space="preserve">3-1 こんな症状があれば熱中症を疑う</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周りから見てわかる症状（他覚症状）</w:t>
            </w:r>
          </w:p>
        </w:tc>
        <w:tc>
          <w:tcPr>
            <w:tcW w:type="dxa" w:w="4819"/>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本人が感じる症状（自覚症状）</w:t>
            </w:r>
          </w:p>
        </w:tc>
      </w:tr>
      <w:tr>
        <w:trPr>
          <w:cantSplit/>
        </w:trPr>
        <w:tc>
          <w:tcPr>
            <w:tcW w:type="dxa" w:w="4819"/>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ふらつき、生あくび、失神、大量の発汗、けいれん　など</w:t>
            </w:r>
          </w:p>
        </w:tc>
        <w:tc>
          <w:tcPr>
            <w:tcW w:type="dxa" w:w="4819"/>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めまい、筋肉痛・筋肉の硬直（こむら返り）、頭痛、不快感、吐き気、倦怠感、高体温　など</w:t>
            </w:r>
          </w:p>
        </w:tc>
      </w:tr>
    </w:tbl>
    <w:p>
      <w:pPr>
        <w:pStyle w:val="Heading2"/>
        <w:keepNext/>
        <w:spacing w:after="60" w:before="140"/>
      </w:pPr>
      <w:r>
        <w:rPr>
          <w:rFonts w:ascii="游ゴシック" w:cs="游ゴシック" w:eastAsia="游ゴシック" w:hAnsi="游ゴシック"/>
          <w:b/>
          <w:bCs/>
          <w:sz w:val="24"/>
          <w:szCs w:val="24"/>
        </w:rPr>
        <w:t xml:space="preserve">3-2 対応の手順</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① 作業から離脱させる</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作業を止めさせ、涼しい場所（冷房のある休憩所・日陰）へ移す。本人が「大丈夫」と言っても作業に戻さない。</w:t>
            </w:r>
          </w:p>
        </w:tc>
      </w:tr>
      <w:tr>
        <w:trPr>
          <w:cantSpli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② 身体を冷やす</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作業着をゆるめる・脱がせて水をかける、首・わきの下・足の付け根を冷やす、ミストファンを当てる、アイスバス、アイススラリーを飲ませる　など</w:t>
            </w:r>
          </w:p>
        </w:tc>
      </w:tr>
      <w:tr>
        <w:trPr>
          <w:cantSpli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③ 責任者に報告する</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2章の報告先へ。報告を受けた責任者は、次の④の判断に立ち会う。</w:t>
            </w:r>
          </w:p>
        </w:tc>
      </w:tr>
      <w:tr>
        <w:trPr>
          <w:cantSpli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④ 意識の状態を確認する</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「意識があるか」だけで判断しない。返事がおかしい、ぼーっとしているなど、普段と様子がおかしい場合も「異常あり」として扱う。</w:t>
            </w:r>
          </w:p>
        </w:tc>
      </w:tr>
      <w:tr>
        <w:trPr>
          <w:cantSpli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⑤-A 異常あり</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ためらわず119番で救急車を要請する。到着まで冷却を続け、1人にしない。</w:t>
            </w:r>
          </w:p>
        </w:tc>
      </w:tr>
      <w:tr>
        <w:trPr>
          <w:cantSpli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⑤-B 異常なし</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自分で水分・塩分をとれるか確認する。とれない場合は医療機関へ搬送する。</w:t>
            </w:r>
          </w:p>
        </w:tc>
      </w:tr>
      <w:tr>
        <w:trPr>
          <w:cantSpli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⑥ 経過を見る</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回復しない・悪化する場合は医療機関へ搬送する。搬送中・経過観察中は1人にしない（単独作業の場合は常に連絡がとれる状態を保つ）。</w:t>
            </w:r>
          </w:p>
        </w:tc>
      </w:tr>
      <w:tr>
        <w:trPr>
          <w:cantSpli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⑦ 回復後</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時間がたってから（帰宅後も）悪化することがある。回復の判断は慎重に行い、体調が急変したら本人・家族が救急要請することを本人に伝える。</w:t>
            </w:r>
          </w:p>
        </w:tc>
      </w:tr>
    </w:tbl>
    <w:p>
      <w:pPr>
        <w:pStyle w:val="Heading2"/>
        <w:keepNext/>
        <w:spacing w:after="60" w:before="140"/>
      </w:pPr>
      <w:r>
        <w:rPr>
          <w:rFonts w:ascii="游ゴシック" w:cs="游ゴシック" w:eastAsia="游ゴシック" w:hAnsi="游ゴシック"/>
          <w:b/>
          <w:bCs/>
          <w:sz w:val="24"/>
          <w:szCs w:val="24"/>
        </w:rPr>
        <w:t xml:space="preserve">3-3 この現場で決めておくこと</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Pr>
        <w:tc>
          <w:tcPr>
            <w:tcW w:type="dxa" w:w="30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冷却に使う物・設備と置き場所</w:t>
            </w:r>
          </w:p>
        </w:tc>
        <w:tc>
          <w:tcPr>
            <w:tcW w:type="dxa" w:w="66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例：クーラーボックス（氷・保冷剤）、ミストファン、経口補水液……詰所に常備</w:t>
            </w:r>
          </w:p>
        </w:tc>
      </w:tr>
      <w:tr>
        <w:trPr>
          <w:cantSplit/>
          <w:trHeight w:val="400" w:hRule="atLeast"/>
        </w:trPr>
        <w:tc>
          <w:tcPr>
            <w:tcW w:type="dxa" w:w="30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休憩場所（冷房・日陰）</w:t>
            </w:r>
          </w:p>
        </w:tc>
        <w:tc>
          <w:tcPr>
            <w:tcW w:type="dxa" w:w="66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rHeight w:val="400" w:hRule="atLeast"/>
        </w:trPr>
        <w:tc>
          <w:tcPr>
            <w:tcW w:type="dxa" w:w="30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病院までの搬送手段</w:t>
            </w:r>
          </w:p>
        </w:tc>
        <w:tc>
          <w:tcPr>
            <w:tcW w:type="dxa" w:w="66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救急車 ／ 社用車（運転者：　　　　　）</w:t>
            </w:r>
          </w:p>
        </w:tc>
      </w:tr>
      <w:tr>
        <w:trPr>
          <w:cantSplit/>
          <w:trHeight w:val="400" w:hRule="atLeast"/>
        </w:trPr>
        <w:tc>
          <w:tcPr>
            <w:tcW w:type="dxa" w:w="30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19"/>
                <w:szCs w:val="19"/>
              </w:rPr>
              <w:t xml:space="preserve">回復後の連絡方法</w:t>
            </w:r>
          </w:p>
        </w:tc>
        <w:tc>
          <w:tcPr>
            <w:tcW w:type="dxa" w:w="66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例：帰宅後に責任者から本人へ電話で様子を確認する</w:t>
            </w:r>
          </w:p>
        </w:tc>
      </w:tr>
    </w:tbl>
    <w:p>
      <w:r>
        <w:br w:type="page"/>
      </w:r>
    </w:p>
    <w:p>
      <w:pPr>
        <w:spacing w:after="40" w:before="0" w:line="300"/>
        <w:jc w:val="center"/>
      </w:pPr>
      <w:r>
        <w:rPr>
          <w:rFonts w:ascii="游ゴシック" w:cs="游ゴシック" w:eastAsia="游ゴシック" w:hAnsi="游ゴシック"/>
          <w:b/>
          <w:bCs/>
          <w:color w:val="C0392B"/>
          <w:sz w:val="40"/>
          <w:szCs w:val="40"/>
        </w:rPr>
        <w:t xml:space="preserve">熱中症かも？と思ったら</w:t>
      </w:r>
    </w:p>
    <w:p>
      <w:pPr>
        <w:spacing w:after="120" w:before="60" w:line="300"/>
        <w:jc w:val="center"/>
      </w:pPr>
      <w:r>
        <w:rPr>
          <w:rFonts w:ascii="游ゴシック" w:cs="游ゴシック" w:eastAsia="游ゴシック" w:hAnsi="游ゴシック"/>
          <w:sz w:val="21"/>
          <w:szCs w:val="21"/>
        </w:rPr>
        <w:t xml:space="preserve">ふらつき・大量の汗・めまい・吐き気・頭痛・返事がおかしい</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888888" w:sz="4"/>
              <w:left w:val="single" w:color="888888" w:sz="4"/>
              <w:bottom w:val="single" w:color="888888" w:sz="4"/>
              <w:right w:val="single" w:color="888888" w:sz="4"/>
            </w:tcBorders>
            <w:shd w:fill="FFF3CD" w:color="auto" w:val="clear"/>
            <w:tcMar>
              <w:top w:type="dxa" w:w="60"/>
              <w:left w:type="dxa" w:w="100"/>
              <w:bottom w:type="dxa" w:w="60"/>
              <w:right w:type="dxa" w:w="100"/>
            </w:tcMar>
            <w:vAlign w:val="center"/>
          </w:tcPr>
          <w:p>
            <w:pPr>
              <w:spacing w:after="40" w:before="40" w:line="300"/>
              <w:jc w:val="center"/>
            </w:pPr>
            <w:r>
              <w:rPr>
                <w:rFonts w:ascii="游ゴシック" w:cs="游ゴシック" w:eastAsia="游ゴシック" w:hAnsi="游ゴシック"/>
                <w:b/>
                <w:bCs/>
                <w:sz w:val="24"/>
                <w:szCs w:val="24"/>
              </w:rPr>
              <w:t xml:space="preserve">1  作業をやめて涼しい場所へ　→　身体を冷やす</w:t>
            </w:r>
          </w:p>
        </w:tc>
      </w:tr>
    </w:tbl>
    <w:p>
      <w:pPr>
        <w:spacing w:after="0" w:before="0" w:line="240"/>
        <w:jc w:val="center"/>
      </w:pPr>
      <w:r>
        <w:rPr>
          <w:rFonts w:ascii="游ゴシック" w:cs="游ゴシック" w:eastAsia="游ゴシック" w:hAnsi="游ゴシック"/>
          <w:color w:val="888888"/>
          <w:sz w:val="22"/>
          <w:szCs w:val="22"/>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888888" w:sz="4"/>
              <w:left w:val="single" w:color="888888" w:sz="4"/>
              <w:bottom w:val="single" w:color="888888" w:sz="4"/>
              <w:right w:val="single" w:color="888888" w:sz="4"/>
            </w:tcBorders>
            <w:shd w:fill="FFF3CD" w:color="auto" w:val="clear"/>
            <w:tcMar>
              <w:top w:type="dxa" w:w="60"/>
              <w:left w:type="dxa" w:w="100"/>
              <w:bottom w:type="dxa" w:w="60"/>
              <w:right w:type="dxa" w:w="100"/>
            </w:tcMar>
            <w:vAlign w:val="center"/>
          </w:tcPr>
          <w:p>
            <w:pPr>
              <w:spacing w:after="40" w:before="40" w:line="300"/>
              <w:jc w:val="center"/>
            </w:pPr>
            <w:r>
              <w:rPr>
                <w:rFonts w:ascii="游ゴシック" w:cs="游ゴシック" w:eastAsia="游ゴシック" w:hAnsi="游ゴシック"/>
                <w:b/>
                <w:bCs/>
                <w:sz w:val="24"/>
                <w:szCs w:val="24"/>
              </w:rPr>
              <w:t xml:space="preserve">2  すぐ責任者に報告</w:t>
            </w:r>
          </w:p>
        </w:tc>
      </w:tr>
    </w:tbl>
    <w:p>
      <w:pPr>
        <w:spacing w:after="0" w:before="0" w:line="240"/>
        <w:jc w:val="center"/>
      </w:pPr>
      <w:r>
        <w:rPr>
          <w:rFonts w:ascii="游ゴシック" w:cs="游ゴシック" w:eastAsia="游ゴシック" w:hAnsi="游ゴシック"/>
          <w:color w:val="888888"/>
          <w:sz w:val="22"/>
          <w:szCs w:val="22"/>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40" w:before="40" w:line="300"/>
              <w:jc w:val="center"/>
            </w:pPr>
            <w:r>
              <w:rPr>
                <w:rFonts w:ascii="游ゴシック" w:cs="游ゴシック" w:eastAsia="游ゴシック" w:hAnsi="游ゴシック"/>
                <w:b/>
                <w:bCs/>
                <w:sz w:val="24"/>
                <w:szCs w:val="24"/>
              </w:rPr>
              <w:t xml:space="preserve">3  意識は？（返事がおかしい・ぼーっとしている＝異常）</w:t>
            </w:r>
          </w:p>
        </w:tc>
      </w:tr>
    </w:tbl>
    <w:p>
      <w:pPr>
        <w:spacing w:after="0" w:before="0" w:line="240"/>
        <w:jc w:val="center"/>
      </w:pPr>
      <w:r>
        <w:rPr>
          <w:rFonts w:ascii="游ゴシック" w:cs="游ゴシック" w:eastAsia="游ゴシック" w:hAnsi="游ゴシック"/>
          <w:color w:val="888888"/>
          <w:sz w:val="22"/>
          <w:szCs w:val="22"/>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888888" w:sz="4"/>
              <w:left w:val="single" w:color="888888" w:sz="4"/>
              <w:bottom w:val="single" w:color="888888" w:sz="4"/>
              <w:right w:val="single" w:color="888888" w:sz="4"/>
            </w:tcBorders>
            <w:shd w:fill="C0392B" w:color="auto" w:val="clear"/>
            <w:tcMar>
              <w:top w:type="dxa" w:w="60"/>
              <w:left w:type="dxa" w:w="100"/>
              <w:bottom w:type="dxa" w:w="60"/>
              <w:right w:type="dxa" w:w="100"/>
            </w:tcMar>
            <w:vAlign w:val="center"/>
          </w:tcPr>
          <w:p>
            <w:pPr>
              <w:spacing w:after="60" w:before="60" w:line="300"/>
              <w:jc w:val="center"/>
            </w:pPr>
            <w:r>
              <w:rPr>
                <w:rFonts w:ascii="游ゴシック" w:cs="游ゴシック" w:eastAsia="游ゴシック" w:hAnsi="游ゴシック"/>
                <w:b/>
                <w:bCs/>
                <w:color w:val="FFFFFF"/>
                <w:sz w:val="24"/>
                <w:szCs w:val="24"/>
              </w:rPr>
              <w:t xml:space="preserve">異常あり</w:t>
            </w:r>
          </w:p>
          <w:p>
            <w:pPr>
              <w:spacing w:after="60" w:before="60" w:line="300"/>
              <w:jc w:val="center"/>
            </w:pPr>
            <w:r>
              <w:rPr>
                <w:rFonts w:ascii="游ゴシック" w:cs="游ゴシック" w:eastAsia="游ゴシック" w:hAnsi="游ゴシック"/>
                <w:b/>
                <w:bCs/>
                <w:color w:val="FFFFFF"/>
                <w:sz w:val="28"/>
                <w:szCs w:val="28"/>
              </w:rPr>
              <w:t xml:space="preserve">すぐ119番（救急車）</w:t>
            </w:r>
          </w:p>
          <w:p>
            <w:pPr>
              <w:spacing w:after="60" w:before="60" w:line="300"/>
              <w:jc w:val="center"/>
            </w:pPr>
            <w:r>
              <w:rPr>
                <w:rFonts w:ascii="游ゴシック" w:cs="游ゴシック" w:eastAsia="游ゴシック" w:hAnsi="游ゴシック"/>
                <w:color w:val="FFFFFF"/>
                <w:sz w:val="20"/>
                <w:szCs w:val="20"/>
              </w:rPr>
              <w:t xml:space="preserve">到着まで冷やし続ける</w:t>
            </w:r>
          </w:p>
        </w:tc>
        <w:tc>
          <w:tcPr>
            <w:tcW w:type="dxa" w:w="4819"/>
            <w:tcBorders>
              <w:top w:val="single" w:color="888888" w:sz="4"/>
              <w:left w:val="single" w:color="888888" w:sz="4"/>
              <w:bottom w:val="single" w:color="888888" w:sz="4"/>
              <w:right w:val="single" w:color="888888" w:sz="4"/>
            </w:tcBorders>
            <w:shd w:fill="E8F5E9" w:color="auto" w:val="clear"/>
            <w:tcMar>
              <w:top w:type="dxa" w:w="60"/>
              <w:left w:type="dxa" w:w="100"/>
              <w:bottom w:type="dxa" w:w="60"/>
              <w:right w:type="dxa" w:w="100"/>
            </w:tcMar>
            <w:vAlign w:val="center"/>
          </w:tcPr>
          <w:p>
            <w:pPr>
              <w:spacing w:after="60" w:before="60" w:line="300"/>
              <w:jc w:val="center"/>
            </w:pPr>
            <w:r>
              <w:rPr>
                <w:rFonts w:ascii="游ゴシック" w:cs="游ゴシック" w:eastAsia="游ゴシック" w:hAnsi="游ゴシック"/>
                <w:b/>
                <w:bCs/>
                <w:sz w:val="24"/>
                <w:szCs w:val="24"/>
              </w:rPr>
              <w:t xml:space="preserve">異常なし</w:t>
            </w:r>
          </w:p>
          <w:p>
            <w:pPr>
              <w:spacing w:after="60" w:before="60" w:line="300"/>
              <w:jc w:val="center"/>
            </w:pPr>
            <w:r>
              <w:rPr>
                <w:rFonts w:ascii="游ゴシック" w:cs="游ゴシック" w:eastAsia="游ゴシック" w:hAnsi="游ゴシック"/>
                <w:b/>
                <w:bCs/>
                <w:sz w:val="22"/>
                <w:szCs w:val="22"/>
              </w:rPr>
              <w:t xml:space="preserve">自分で水分・塩分をとれる？</w:t>
            </w:r>
          </w:p>
          <w:p>
            <w:pPr>
              <w:spacing w:after="60" w:before="60" w:line="300"/>
              <w:jc w:val="center"/>
            </w:pPr>
            <w:r>
              <w:rPr>
                <w:rFonts w:ascii="游ゴシック" w:cs="游ゴシック" w:eastAsia="游ゴシック" w:hAnsi="游ゴシック"/>
                <w:sz w:val="20"/>
                <w:szCs w:val="20"/>
              </w:rPr>
              <w:t xml:space="preserve">とれない → 病院へ　／　とれる → 様子を見る</w:t>
            </w:r>
          </w:p>
          <w:p>
            <w:pPr>
              <w:spacing w:after="60" w:before="60" w:line="300"/>
              <w:jc w:val="center"/>
            </w:pPr>
            <w:r>
              <w:rPr>
                <w:rFonts w:ascii="游ゴシック" w:cs="游ゴシック" w:eastAsia="游ゴシック" w:hAnsi="游ゴシック"/>
                <w:sz w:val="20"/>
                <w:szCs w:val="20"/>
              </w:rPr>
              <w:t xml:space="preserve">よくならない・悪化 → 病院へ</w:t>
            </w:r>
          </w:p>
        </w:tc>
      </w:tr>
    </w:tbl>
    <w:p>
      <w:pPr>
        <w:spacing w:after="120" w:before="120" w:line="300"/>
        <w:jc w:val="center"/>
      </w:pPr>
      <w:r>
        <w:rPr>
          <w:rFonts w:ascii="游ゴシック" w:cs="游ゴシック" w:eastAsia="游ゴシック" w:hAnsi="游ゴシック"/>
          <w:b/>
          <w:bCs/>
          <w:sz w:val="22"/>
          <w:szCs w:val="22"/>
        </w:rPr>
        <w:t xml:space="preserve">具合の悪い人を1人にしない　／　迷ったら #7119・病院に相談</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22"/>
                <w:szCs w:val="22"/>
              </w:rPr>
              <w:t xml:space="preserve">責任者</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22"/>
                <w:szCs w:val="22"/>
              </w:rPr>
              <w:t xml:space="preserve">氏名　　　　　　　　　　電話</w:t>
            </w:r>
          </w:p>
        </w:tc>
      </w:tr>
      <w:tr>
        <w:trPr>
          <w:cantSplit/>
          <w:trHeight w:val="600" w:hRule="atLeas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22"/>
                <w:szCs w:val="22"/>
              </w:rPr>
              <w:t xml:space="preserve">代理</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22"/>
                <w:szCs w:val="22"/>
              </w:rPr>
              <w:t xml:space="preserve">氏名　　　　　　　　　　電話</w:t>
            </w:r>
          </w:p>
        </w:tc>
      </w:tr>
      <w:tr>
        <w:trPr>
          <w:cantSplit/>
          <w:trHeight w:val="600" w:hRule="atLeas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22"/>
                <w:szCs w:val="22"/>
              </w:rPr>
              <w:t xml:space="preserve">救急車の要請場所</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22"/>
                <w:szCs w:val="22"/>
              </w:rPr>
              <w:t xml:space="preserve">住所</w:t>
            </w:r>
          </w:p>
          <w:p>
            <w:pPr>
              <w:spacing w:after="30" w:before="30" w:line="260"/>
            </w:pPr>
            <w:r>
              <w:rPr>
                <w:rFonts w:ascii="游ゴシック" w:cs="游ゴシック" w:eastAsia="游ゴシック" w:hAnsi="游ゴシック"/>
                <w:sz w:val="22"/>
                <w:szCs w:val="22"/>
              </w:rPr>
              <w:t xml:space="preserve">目印</w:t>
            </w:r>
          </w:p>
        </w:tc>
      </w:tr>
      <w:tr>
        <w:trPr>
          <w:cantSplit/>
          <w:trHeight w:val="600" w:hRule="atLeast"/>
        </w:trPr>
        <w:tc>
          <w:tcPr>
            <w:tcW w:type="dxa" w:w="2400"/>
            <w:tcBorders>
              <w:top w:val="single" w:color="888888" w:sz="4"/>
              <w:left w:val="single" w:color="888888" w:sz="4"/>
              <w:bottom w:val="single" w:color="888888" w:sz="4"/>
              <w:right w:val="single" w:color="888888" w:sz="4"/>
            </w:tcBorders>
            <w:shd w:fill="F4F4F4" w:color="auto" w:val="clear"/>
            <w:tcMar>
              <w:top w:type="dxa" w:w="60"/>
              <w:left w:type="dxa" w:w="100"/>
              <w:bottom w:type="dxa" w:w="60"/>
              <w:right w:type="dxa" w:w="100"/>
            </w:tcMar>
            <w:vAlign w:val="center"/>
          </w:tcPr>
          <w:p>
            <w:pPr>
              <w:spacing w:after="30" w:before="30" w:line="260"/>
            </w:pPr>
            <w:r>
              <w:rPr>
                <w:rFonts w:ascii="游ゴシック" w:cs="游ゴシック" w:eastAsia="游ゴシック" w:hAnsi="游ゴシック"/>
                <w:b/>
                <w:bCs/>
                <w:sz w:val="22"/>
                <w:szCs w:val="22"/>
              </w:rPr>
              <w:t xml:space="preserve">搬送先の病院</w:t>
            </w:r>
          </w:p>
        </w:tc>
        <w:tc>
          <w:tcPr>
            <w:tcW w:type="dxa" w:w="72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22"/>
                <w:szCs w:val="22"/>
              </w:rPr>
              <w:t xml:space="preserve">名称　　　　　　　　　　電話</w:t>
            </w:r>
          </w:p>
          <w:p>
            <w:pPr>
              <w:spacing w:after="30" w:before="30" w:line="260"/>
            </w:pPr>
            <w:r>
              <w:rPr>
                <w:rFonts w:ascii="游ゴシック" w:cs="游ゴシック" w:eastAsia="游ゴシック" w:hAnsi="游ゴシック"/>
                <w:sz w:val="22"/>
                <w:szCs w:val="22"/>
              </w:rPr>
              <w:t xml:space="preserve">住所</w:t>
            </w:r>
          </w:p>
        </w:tc>
      </w:tr>
    </w:tbl>
    <w:p>
      <w:pPr>
        <w:spacing w:after="60" w:before="120" w:line="300"/>
      </w:pPr>
      <w:r>
        <w:rPr>
          <w:rFonts w:ascii="游ゴシック" w:cs="游ゴシック" w:eastAsia="游ゴシック" w:hAnsi="游ゴシック"/>
          <w:sz w:val="20"/>
          <w:szCs w:val="20"/>
        </w:rPr>
        <w:t xml:space="preserve">会社名・現場名：</w:t>
      </w:r>
    </w:p>
    <w:p>
      <w:r>
        <w:br w:type="page"/>
      </w:r>
    </w:p>
    <w:p>
      <w:pPr>
        <w:pStyle w:val="Heading1"/>
        <w:pBdr>
          <w:bottom w:val="single" w:color="C0392B" w:sz="12" w:space="4"/>
        </w:pBdr>
        <w:spacing w:after="120" w:before="120"/>
      </w:pPr>
      <w:r>
        <w:rPr>
          <w:rFonts w:ascii="游ゴシック" w:cs="游ゴシック" w:eastAsia="游ゴシック" w:hAnsi="游ゴシック"/>
          <w:b/>
          <w:bCs/>
          <w:sz w:val="30"/>
          <w:szCs w:val="30"/>
        </w:rPr>
        <w:t xml:space="preserve">5. 周知の記録</w:t>
      </w:r>
    </w:p>
    <w:p>
      <w:pPr>
        <w:spacing w:after="60" w:before="60" w:line="300"/>
      </w:pPr>
      <w:r>
        <w:rPr>
          <w:rFonts w:ascii="游ゴシック" w:cs="游ゴシック" w:eastAsia="游ゴシック" w:hAnsi="游ゴシック"/>
          <w:sz w:val="21"/>
          <w:szCs w:val="21"/>
        </w:rPr>
        <w:t xml:space="preserve">2章の報告体制と3章の手順を、作業に従事する人（一人親方など労働者以外の人も含む）に周知します。口頭だけでは伝わらないことがあるため、掲示・文書配布・メール・朝礼などを組み合わせてください。</w:t>
      </w:r>
    </w:p>
    <w:p>
      <w:pPr>
        <w:spacing w:after="20" w:before="20" w:line="260"/>
      </w:pPr>
      <w:r>
        <w:rPr>
          <w:rFonts w:ascii="游ゴシック" w:cs="游ゴシック" w:eastAsia="游ゴシック" w:hAnsi="游ゴシック"/>
          <w:color w:val="555555"/>
          <w:sz w:val="18"/>
          <w:szCs w:val="18"/>
        </w:rPr>
        <w:t xml:space="preserve">※ 周知の記録を保存することまでは法令で求められていませんが、労働基準監督署の確認の際に説明できるよう、記録を残しておくことをおすすめします（基発0520第6号）。</w:t>
      </w:r>
    </w:p>
    <w:p>
      <w:pPr>
        <w:spacing w:after="60" w:before="60" w:line="300"/>
      </w:pPr>
      <w:r>
        <w:rPr>
          <w:rFonts w:ascii="游ゴシック" w:cs="游ゴシック" w:eastAsia="游ゴシック" w:hAnsi="游ゴシック"/>
          <w:sz w:val="21"/>
          <w:szCs w:val="21"/>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2300"/>
        <w:gridCol w:w="2300"/>
        <w:gridCol w:w="2138"/>
        <w:gridCol w:w="1400"/>
      </w:tblGrid>
      <w:tr>
        <w:trPr>
          <w:cantSplit/>
          <w:tblHeader/>
        </w:trPr>
        <w:tc>
          <w:tcPr>
            <w:tcW w:type="dxa" w:w="15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実施日</w:t>
            </w:r>
          </w:p>
        </w:tc>
        <w:tc>
          <w:tcPr>
            <w:tcW w:type="dxa" w:w="23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周知の方法（掲示・文書・メール・朝礼・新規入場者教育など）</w:t>
            </w:r>
          </w:p>
        </w:tc>
        <w:tc>
          <w:tcPr>
            <w:tcW w:type="dxa" w:w="23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対象者（会社名・人数）</w:t>
            </w:r>
          </w:p>
        </w:tc>
        <w:tc>
          <w:tcPr>
            <w:tcW w:type="dxa" w:w="2138"/>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周知した内容（報告先・手順・変更点など）</w:t>
            </w:r>
          </w:p>
        </w:tc>
        <w:tc>
          <w:tcPr>
            <w:tcW w:type="dxa" w:w="1400"/>
            <w:tcBorders>
              <w:top w:val="single" w:color="888888" w:sz="4"/>
              <w:left w:val="single" w:color="888888" w:sz="4"/>
              <w:bottom w:val="single" w:color="888888" w:sz="4"/>
              <w:right w:val="single" w:color="888888" w:sz="4"/>
            </w:tcBorders>
            <w:shd w:fill="E8E8E8" w:color="auto" w:val="clear"/>
            <w:tcMar>
              <w:top w:type="dxa" w:w="60"/>
              <w:left w:type="dxa" w:w="100"/>
              <w:bottom w:type="dxa" w:w="60"/>
              <w:right w:type="dxa" w:w="100"/>
            </w:tcMar>
            <w:vAlign w:val="center"/>
          </w:tcPr>
          <w:p>
            <w:pPr>
              <w:spacing w:after="30" w:before="30" w:line="260"/>
              <w:jc w:val="center"/>
            </w:pPr>
            <w:r>
              <w:rPr>
                <w:rFonts w:ascii="游ゴシック" w:cs="游ゴシック" w:eastAsia="游ゴシック" w:hAnsi="游ゴシック"/>
                <w:b/>
                <w:bCs/>
                <w:sz w:val="19"/>
                <w:szCs w:val="19"/>
              </w:rPr>
              <w:t xml:space="preserve">実施者</w:t>
            </w:r>
          </w:p>
        </w:tc>
      </w:tr>
      <w:tr>
        <w:trPr>
          <w:cantSplit/>
          <w:tblHeader w:val="false"/>
          <w:trHeight w:val="520" w:hRule="atLeast"/>
        </w:trPr>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　</w:t>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1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4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　</w:t>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1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4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　</w:t>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1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4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　</w:t>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1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4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　</w:t>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1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4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　</w:t>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1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4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　</w:t>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1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4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　</w:t>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1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4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　</w:t>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1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4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r>
        <w:trPr>
          <w:cantSplit/>
          <w:tblHeader w:val="false"/>
          <w:trHeight w:val="520" w:hRule="atLeast"/>
        </w:trPr>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　</w:t>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3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2138"/>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c>
          <w:tcPr>
            <w:tcW w:type="dxa" w:w="1400"/>
            <w:tcBorders>
              <w:top w:val="single" w:color="888888" w:sz="4"/>
              <w:left w:val="single" w:color="888888" w:sz="4"/>
              <w:bottom w:val="single" w:color="888888" w:sz="4"/>
              <w:right w:val="single" w:color="888888" w:sz="4"/>
            </w:tcBorders>
            <w:tcMar>
              <w:top w:type="dxa" w:w="60"/>
              <w:left w:type="dxa" w:w="100"/>
              <w:bottom w:type="dxa" w:w="60"/>
              <w:right w:type="dxa" w:w="100"/>
            </w:tcMar>
            <w:vAlign w:val="center"/>
          </w:tcPr>
          <w:p>
            <w:pPr>
              <w:spacing w:after="30" w:before="30" w:line="260"/>
            </w:pPr>
            <w:r>
              <w:rPr>
                <w:rFonts w:ascii="游ゴシック" w:cs="游ゴシック" w:eastAsia="游ゴシック" w:hAnsi="游ゴシック"/>
                <w:sz w:val="19"/>
                <w:szCs w:val="19"/>
              </w:rPr>
              <w:t xml:space="preserve"/>
            </w:r>
          </w:p>
        </w:tc>
      </w:tr>
    </w:tbl>
    <w:p>
      <w:pPr>
        <w:pStyle w:val="Heading2"/>
        <w:keepNext/>
        <w:spacing w:after="60" w:before="140"/>
      </w:pPr>
      <w:r>
        <w:rPr>
          <w:rFonts w:ascii="游ゴシック" w:cs="游ゴシック" w:eastAsia="游ゴシック" w:hAnsi="游ゴシック"/>
          <w:b/>
          <w:bCs/>
          <w:sz w:val="24"/>
          <w:szCs w:val="24"/>
        </w:rPr>
        <w:t xml:space="preserve">根拠・参考資料</w:t>
      </w:r>
    </w:p>
    <w:p>
      <w:pPr>
        <w:spacing w:after="20" w:before="20" w:line="260"/>
      </w:pPr>
      <w:r>
        <w:rPr>
          <w:rFonts w:ascii="游ゴシック" w:cs="游ゴシック" w:eastAsia="游ゴシック" w:hAnsi="游ゴシック"/>
          <w:color w:val="555555"/>
          <w:sz w:val="18"/>
          <w:szCs w:val="18"/>
        </w:rPr>
        <w:t xml:space="preserve">・労働安全衛生規則 第612条の2（令和7年厚生労働省令第57号により新設、令和7年6月1日施行）</w:t>
      </w:r>
    </w:p>
    <w:p>
      <w:pPr>
        <w:spacing w:after="20" w:before="20" w:line="260"/>
      </w:pPr>
      <w:r>
        <w:rPr>
          <w:rFonts w:ascii="游ゴシック" w:cs="游ゴシック" w:eastAsia="游ゴシック" w:hAnsi="游ゴシック"/>
          <w:color w:val="555555"/>
          <w:sz w:val="18"/>
          <w:szCs w:val="18"/>
        </w:rPr>
        <w:t xml:space="preserve">・「労働安全衛生規則の一部を改正する省令の施行等について」基発0520第6号（令和7年5月20日）　https://www.mhlw.go.jp/content/001490909.pdf</w:t>
      </w:r>
    </w:p>
    <w:p>
      <w:pPr>
        <w:spacing w:after="20" w:before="20" w:line="260"/>
      </w:pPr>
      <w:r>
        <w:rPr>
          <w:rFonts w:ascii="游ゴシック" w:cs="游ゴシック" w:eastAsia="游ゴシック" w:hAnsi="游ゴシック"/>
          <w:color w:val="555555"/>
          <w:sz w:val="18"/>
          <w:szCs w:val="18"/>
        </w:rPr>
        <w:t xml:space="preserve">・「職場における熱中症防止のためのガイドライン」（令和8年策定）</w:t>
      </w:r>
    </w:p>
    <w:p>
      <w:pPr>
        <w:spacing w:after="20" w:before="20" w:line="260"/>
      </w:pPr>
      <w:r>
        <w:rPr>
          <w:rFonts w:ascii="游ゴシック" w:cs="游ゴシック" w:eastAsia="游ゴシック" w:hAnsi="游ゴシック"/>
          <w:color w:val="555555"/>
          <w:sz w:val="18"/>
          <w:szCs w:val="18"/>
        </w:rPr>
        <w:t xml:space="preserve">・厚生労働省「職場における熱中症予防情報」　https://neccyusho.mhlw.go.jp/</w:t>
      </w:r>
    </w:p>
    <w:p>
      <w:pPr>
        <w:spacing w:after="20" w:before="20" w:line="260"/>
      </w:pPr>
      <w:r>
        <w:rPr>
          <w:rFonts w:ascii="游ゴシック" w:cs="游ゴシック" w:eastAsia="游ゴシック" w:hAnsi="游ゴシック"/>
          <w:color w:val="555555"/>
          <w:sz w:val="18"/>
          <w:szCs w:val="18"/>
        </w:rPr>
        <w:t xml:space="preserve">作成：合同会社SEKOBASE　https://sekobase.com/　（本テンプレートは自由に編集・社内利用できます）</w:t>
      </w:r>
    </w:p>
    <w:sectPr>
      <w:footerReference w:type="default" r:id="rId7"/>
      <w:pgSz w:w="11906" w:h="16838" w:orient="portrait"/>
      <w:pgMar w:top="1000" w:right="1134" w:bottom="10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before="60" w:line="300"/>
      <w:jc w:val="center"/>
    </w:pPr>
    <w:r>
      <w:rPr>
        <w:rFonts w:ascii="游ゴシック" w:cs="游ゴシック" w:eastAsia="游ゴシック" w:hAnsi="游ゴシック"/>
        <w:color w:val="888888"/>
        <w:sz w:val="16"/>
        <w:szCs w:val="16"/>
      </w:rPr>
      <w:t xml:space="preserve">熱中症対策 手順書（SEKOBASE テンプレート）　</w:t>
    </w:r>
    <w:r>
      <w:rPr>
        <w:rFonts w:ascii="游ゴシック" w:cs="游ゴシック" w:eastAsia="游ゴシック" w:hAnsi="游ゴシック"/>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cs="游ゴシック" w:eastAsia="游ゴシック" w:hAnsi="游ゴシック"/>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熱中症対策 手順書テンプレート</dc:title>
  <dc:creator>合同会社SEKOBASE</dc:creator>
  <dc:description>労働安全衛生規則第612条の2 対応</dc:description>
  <cp:lastModifiedBy>Un-named</cp:lastModifiedBy>
  <cp:revision>1</cp:revision>
  <dcterms:created xsi:type="dcterms:W3CDTF">2026-09-23T12:12:14.761Z</dcterms:created>
  <dcterms:modified xsi:type="dcterms:W3CDTF">2026-09-23T12:12:14.765Z</dcterms:modified>
</cp:coreProperties>
</file>

<file path=docProps/custom.xml><?xml version="1.0" encoding="utf-8"?>
<Properties xmlns="http://schemas.openxmlformats.org/officeDocument/2006/custom-properties" xmlns:vt="http://schemas.openxmlformats.org/officeDocument/2006/docPropsVTypes"/>
</file>